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50"/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1"/>
        <w:gridCol w:w="199"/>
      </w:tblGrid>
      <w:tr w:rsidR="00AC6F41" w:rsidRPr="00AC6F41" w:rsidTr="00AC6F41">
        <w:trPr>
          <w:trHeight w:val="2874"/>
        </w:trPr>
        <w:tc>
          <w:tcPr>
            <w:tcW w:w="10180" w:type="dxa"/>
          </w:tcPr>
          <w:p w:rsidR="00AC6F41" w:rsidRPr="00AC6F41" w:rsidRDefault="00AC6F41" w:rsidP="00AC6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                                     </w:t>
            </w:r>
          </w:p>
          <w:p w:rsidR="00AC6F41" w:rsidRPr="00AC6F41" w:rsidRDefault="00AC6F41" w:rsidP="00AC6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 область</w:t>
            </w:r>
          </w:p>
          <w:p w:rsidR="00AC6F41" w:rsidRPr="00AC6F41" w:rsidRDefault="00AC6F41" w:rsidP="00AC6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Зиминский район</w:t>
            </w:r>
          </w:p>
          <w:p w:rsidR="00AC6F41" w:rsidRPr="00AC6F41" w:rsidRDefault="00AC6F41" w:rsidP="00AC6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F41" w:rsidRPr="00AC6F41" w:rsidRDefault="00AC6F41" w:rsidP="00AC6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Услонское муниципальное образование</w:t>
            </w:r>
          </w:p>
          <w:p w:rsidR="00AC6F41" w:rsidRPr="00AC6F41" w:rsidRDefault="00AC6F41" w:rsidP="00AC6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</w:t>
            </w:r>
          </w:p>
          <w:p w:rsidR="00AC6F41" w:rsidRPr="00AC6F41" w:rsidRDefault="00AC6F41" w:rsidP="00AC6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F41" w:rsidRPr="00AC6F41" w:rsidRDefault="00AC6F41" w:rsidP="00AC6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Ш Е Н И Е</w:t>
            </w:r>
          </w:p>
          <w:p w:rsidR="00AC6F41" w:rsidRPr="00AC6F41" w:rsidRDefault="00AC6F41" w:rsidP="00AC6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6F41" w:rsidRPr="00AC6F41" w:rsidRDefault="00AC6F41" w:rsidP="00AC6F4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A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A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2017 года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A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с. Услон</w:t>
            </w:r>
          </w:p>
          <w:p w:rsidR="00AC6F41" w:rsidRPr="00AC6F41" w:rsidRDefault="00AC6F41" w:rsidP="00AC6F4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6F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 утверждении бюджета Услонского</w:t>
            </w:r>
          </w:p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6F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образования на 2018 год</w:t>
            </w:r>
          </w:p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C6F4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на плановый период 2019 и 2020 годов</w:t>
            </w:r>
          </w:p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" w:type="dxa"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C6F41" w:rsidRPr="00AC6F41" w:rsidRDefault="00AC6F41" w:rsidP="00AC6F41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Рассмотрев представленный администрацией Услонского муниципального образования проект решения «Об утверждении бюджета Услонского муниципального образования на 2018 год и на плановый период 2019 и 2020 годов», руководствуясь Бюджетным кодексом Российской Федерации, </w:t>
      </w:r>
      <w:proofErr w:type="spellStart"/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ст.ст</w:t>
      </w:r>
      <w:proofErr w:type="spellEnd"/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14, 35, 52 Федерального закона от 06.10.2003 года №131-ФЗ «Об общих принципах организации местного самоуправления в Российской Федерации»,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Российской Федерации от 01.07.2013 года № 65н «Об утверждении</w:t>
      </w:r>
      <w:proofErr w:type="gramEnd"/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указаний о порядке применения бюджетной классификации Российской Федерации», Законом Иркутской области от 22.10.2013 года  № 74-ОЗ «О межбюджетных трансфертах и нормативах отчислений доходов в местные бюджеты», проектом Закона Иркутской области «Об областном бюджете на 2018 год и на плановый период 2019 и 2020 годов»</w:t>
      </w: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 в Законодательное собрание Иркутской области  25.10.2017 год (указ Губернатора Иркутской области № 200-уг)</w:t>
      </w: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 проектом решения Думы Зиминского</w:t>
      </w:r>
      <w:proofErr w:type="gramEnd"/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района «Об утверждении бюджета Зиминского районного муниципального образования на 2018 год и на плановый период 2019 и 2020 годов»,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29.04.2016 года № 151, Дума Услонского муниципального образования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C6F4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РЕШИЛА: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</w:t>
      </w: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Услонского муниципального образования (далее – местный бюджет) на 2018 год: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прогнозируемый общий объем доходов местного бюджета в сумме 9 078</w:t>
      </w:r>
      <w:r w:rsidRPr="00AC6F4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тыс. рублей,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5 055 тыс. рублей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из областного бюджета в сумме </w:t>
      </w: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85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из бюджета муниципального района в сумме  </w:t>
      </w: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4 970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  <w:proofErr w:type="gramEnd"/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общий объем расходов местного бюджета в сумме 9 078</w:t>
      </w:r>
      <w:r w:rsidRPr="00AC6F4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тыс. рублей.</w:t>
      </w:r>
    </w:p>
    <w:p w:rsidR="00AC6F41" w:rsidRPr="00AC6F41" w:rsidRDefault="00AC6F41" w:rsidP="00AC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местного бюджета в сумме 0 тыс. рублей.</w:t>
      </w:r>
    </w:p>
    <w:p w:rsidR="00AC6F41" w:rsidRPr="00AC6F41" w:rsidRDefault="00AC6F41" w:rsidP="00AC6F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местного бюджета</w:t>
      </w: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плановый период 2018 и 2019 годов:</w:t>
      </w:r>
    </w:p>
    <w:p w:rsidR="00AC6F41" w:rsidRPr="00AC6F41" w:rsidRDefault="00AC6F41" w:rsidP="00AC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местного бюджета на 2019 год в сумме 8 349 тыс. рублей, из них объем межбюджетных трансфертов, получаемых из других бюджетов бюджетной системы Российской Федерации, в сумме 4 107 тыс. рублей, на 2020 год в сумме 8 455 тыс. рублей, из них объем межбюджетных трансфертов, получаемых из других бюджетов бюджетной системы Российской Федерации, в сумме 4 092</w:t>
      </w:r>
      <w:proofErr w:type="gramEnd"/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общий объем расходов местного бюджета на 2019 год в сумме 8 349 тыс. рублей,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условно утвержденные расходы в сумме 207 тыс. рублей, на 2020 год в сумме 8455</w:t>
      </w:r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условно утвержденные расходы в сумме 418</w:t>
      </w:r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AC6F41" w:rsidRPr="00AC6F41" w:rsidRDefault="00AC6F41" w:rsidP="00AC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местного бюджета на 2019 год в сумме 0</w:t>
      </w:r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2020 год в сумме 0 тыс. рублей.</w:t>
      </w:r>
    </w:p>
    <w:p w:rsidR="00AC6F41" w:rsidRPr="00AC6F41" w:rsidRDefault="00AC6F41" w:rsidP="00AC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доходы местного бюджета, поступающие в 2018-2020 годах, формируются за счет: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налоговых доходов, в том числе: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отчислений от федеральных и региональных налогов и сборов, налогов, предусмотренных специальными налоговыми режимами, в соответствии с нормативами, установленными федеральным и областным законодательством;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неналоговых доходов;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безвозмездных поступлений.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прогнозируемые доходы местного бюджета на 2018 год и на плановый период 2019 и 2020 годов по классификации доходов бюджетов Российской Федерации согласно приложениям 1, 2 к настоящему решению.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C6F41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Утвердить перечень главных администраторов доходов местного бюджета согласно приложению 3 к настоящему решению.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F4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AC6F41">
        <w:rPr>
          <w:rFonts w:ascii="Times New Roman" w:eastAsia="Calibri" w:hAnsi="Times New Roman" w:cs="Times New Roman"/>
          <w:snapToGrid w:val="0"/>
          <w:sz w:val="24"/>
          <w:szCs w:val="28"/>
        </w:rPr>
        <w:t xml:space="preserve">Утвердить перечень главных </w:t>
      </w:r>
      <w:proofErr w:type="gramStart"/>
      <w:r w:rsidRPr="00AC6F41">
        <w:rPr>
          <w:rFonts w:ascii="Times New Roman" w:eastAsia="Calibri" w:hAnsi="Times New Roman" w:cs="Times New Roman"/>
          <w:snapToGrid w:val="0"/>
          <w:sz w:val="24"/>
          <w:szCs w:val="28"/>
        </w:rPr>
        <w:t>администраторов источников финансирования дефицита местного бюджета</w:t>
      </w:r>
      <w:proofErr w:type="gramEnd"/>
      <w:r w:rsidRPr="00AC6F41">
        <w:rPr>
          <w:rFonts w:ascii="Times New Roman" w:eastAsia="Calibri" w:hAnsi="Times New Roman" w:cs="Times New Roman"/>
          <w:snapToGrid w:val="0"/>
          <w:sz w:val="24"/>
          <w:szCs w:val="28"/>
        </w:rPr>
        <w:t xml:space="preserve"> согласно приложению 4 к настоящему решению</w:t>
      </w:r>
      <w:r w:rsidRPr="00AC6F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распределение бюджетных ассигнований по разделам и подразделам классификации расходов бюджетов на 2018 год и на плановый период 2019 и 2020 годов согласно приложениям 5, 6 к настоящему решению.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2018 год и на плановый период 2019 и 2020 годов согласно приложениям 7, 8 к настоящему решению.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Утвердить ведомственную структуру расходов местного бюджета на 2018 год и на плановый период 2019 и 2020 годов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 согласно </w:t>
      </w:r>
      <w:hyperlink r:id="rId8" w:history="1">
        <w:r w:rsidRPr="00AC6F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 9</w:t>
        </w:r>
      </w:hyperlink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к настоящему решению.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Утвердить общий объем бюджетных ассигнований, направляемых на исполнение публичных нормативных обязательств: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в сумме 251 тыс. рублей;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251</w:t>
      </w:r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сумме 251</w:t>
      </w:r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Установить, что в расходной части местного бюджета создается резервный фонд администрации Услонского муниципального образования Зиминского района: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в сумме 3 тыс. рублей;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3 тыс. рублей;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сумме 3 тыс. рублей.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Утвердить объем бюджетных ассигнований дорожного фонда Услонского муниципального образования: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в сумме 941 тыс. рублей;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1 061 тыс. рублей;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сумме 1 074 тыс. рублей.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13. У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становить объем межбюджетных трансфертов, предоставляемых бюджету Зиминского районного муниципального образования на осуществление части полномочий по решению вопросов местного значения, в соответствии с заключенными соглашениями: 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в сумме 448 тыс. рублей;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448 тыс. рублей;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сумме 448 тыс. рублей.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 и на увеличение бюджетных ассигнований муниципального дорожного фонда на оплату заключенных от имени Услонского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proofErr w:type="gramEnd"/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 оплате в отчетном финансовом году, в объеме, не превышающем сумму остатка неиспользованных бюджетных ассигнований муниципального дорожного фонда на указанные цели.</w:t>
      </w:r>
    </w:p>
    <w:p w:rsidR="00AC6F41" w:rsidRPr="00AC6F41" w:rsidRDefault="00AC6F41" w:rsidP="00AC6F41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Установить следующие дополнительные основания для внесения изменений в сводную бюджетную роспись местного бюджета:</w:t>
      </w:r>
    </w:p>
    <w:p w:rsidR="00AC6F41" w:rsidRPr="00AC6F41" w:rsidRDefault="00AC6F41" w:rsidP="00AC6F4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AC6F41" w:rsidRPr="00AC6F41" w:rsidRDefault="00AC6F41" w:rsidP="00AC6F4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ликвидация, реорганизация, изменение наименования органов местного самоуправления Услонского муниципального образования, муниципальных учреждений поселения;</w:t>
      </w:r>
    </w:p>
    <w:p w:rsidR="00AC6F41" w:rsidRPr="00AC6F41" w:rsidRDefault="00AC6F41" w:rsidP="00AC6F4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распределение межбюджетных трансфертов местному бюджету постановлениями (распоряжениями) Правительства Иркутской области, приказами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местному бюджету в постановлениях (распоряжениях) Правительства Иркутской области, приказах органов государственной власти, имеющих целевое назначение и утвержденных в настоящем решении;</w:t>
      </w:r>
      <w:proofErr w:type="gramEnd"/>
    </w:p>
    <w:p w:rsidR="00AC6F41" w:rsidRPr="00AC6F41" w:rsidRDefault="00AC6F41" w:rsidP="00AC6F4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4)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</w:t>
      </w:r>
      <w:proofErr w:type="gramEnd"/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бюджета.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увеличение бюджетных ассигнований дорожного фонда Услонского муниципального образования на 2018 год на оплату заключенных муниципальных контрактов на поставку товаров, выполнение работ, оказание услуг, подлежавших в соответствии с условиями этих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контрактов оплате в 2017 году, в объеме, не превышающем остатка не использованных на начало 2018 года бюджетных ассигнований дорожного фонда Услонского муниципального образования на исполнение указанных муниципальных контрактов;</w:t>
      </w:r>
      <w:proofErr w:type="gramEnd"/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поступление безвозмездных средств от юридических и физических лиц муниципальным казенным учреждениям в виде добровольных взносов (пожертвований), имеющих целевое назначение, на сумму фактически поступивших средств соответствующему учреждению.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Установить предельный объем муниципального долга Услонского муниципального образования (далее – муниципальный долг):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в сумме 4 023 тыс. рублей;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2019 год в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4 242</w:t>
      </w:r>
      <w:r w:rsidRPr="00AC6F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тыс. рублей;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2020 год в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4 363</w:t>
      </w:r>
      <w:r w:rsidRPr="00AC6F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тыс. рублей.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Установить верхний предел муниципального долга: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состоянию на 1 января 2019 года в размере 0 тыс. рублей, в том числе верхний предел долга по муниципальным гарантиям - 0 тыс. рублей;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2020 года в размере 0 тыс. рублей, в том числе верхний предел долга по муниципальным гарантиям - 0 тыс. рублей;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1 января 2021 года в размере 0 тыс. рублей, в том числе верхний предел долга по муниципальным гарантиям - 0 тыс. рублей.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18. Утвердить программу муниципальных внутренних заимствований Услонского муниципального образования на 2018 год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2019 и 2020 годов</w:t>
      </w: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согласно приложениям 11, 12 к настоящему решению.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19. Установить источники внутреннего финансирования дефицита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бюджета на 2018 год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2019 и 2020 годов</w:t>
      </w: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согласно приложениям 13, 14 к настоящему решению.</w:t>
      </w: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 Опубликовать настоящее решение в муниципальной газете Услонского муниципального образования «Родник».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</w:t>
      </w:r>
      <w:r w:rsidRPr="00AC6F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решение вступает в силу после его официального опубликования, но не ранее 1 января 2018 года.</w:t>
      </w: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C6F41" w:rsidRPr="00AC6F41" w:rsidRDefault="00AC6F41" w:rsidP="00AC6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Услонского</w:t>
      </w: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</w:t>
      </w:r>
      <w:r w:rsidRPr="00AC6F41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Сухарев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28 декабря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доходы бюджета Услонского муниципального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на 2018 год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0"/>
          <w:szCs w:val="24"/>
          <w:lang w:eastAsia="ru-RU"/>
        </w:rPr>
        <w:t>рублей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387"/>
        <w:gridCol w:w="2977"/>
        <w:gridCol w:w="1417"/>
      </w:tblGrid>
      <w:tr w:rsidR="00AC6F41" w:rsidRPr="00AC6F41" w:rsidTr="00AC6F41">
        <w:trPr>
          <w:trHeight w:val="737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C6F41" w:rsidRPr="00AC6F41" w:rsidTr="00AC6F4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F41" w:rsidRPr="00AC6F41" w:rsidTr="00AC6F4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4 022 900,00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2 405 200,00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2 405 200,00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2 404 900,00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381 900,00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629 300,00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-74 300,00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000  1  05  03010  01  0000  110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5 055 375,00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5 055 375,00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000  2  02  10000  00  0000  151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4 663 737,00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000  2  02  15001  00  0000  151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4 663 737,00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000  2  02  15001  10  0000  151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4 663 737,00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000  2  02  15001  10  0000  151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4 663 737,00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000  2  02  30000  00  0000  151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000  2  02  30024  00  0000  151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000  2  02  30024  10  0000  151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000  2  02  30024  10  0000  151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000  2  02  35118  00  0000  151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000  2  02  35118  10  0000  151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83 800,00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000  2  02  40000  00  0000  151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307 138,00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000  2  02  49999  00  0000  151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307 138,00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000  2  02  49999  10  0000  151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307 138,00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000  2  02  49999  10  0000  151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307 138,00</w:t>
            </w:r>
          </w:p>
        </w:tc>
      </w:tr>
      <w:tr w:rsidR="00AC6F41" w:rsidRPr="00AC6F41" w:rsidTr="00AC6F41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9 078 275,00</w:t>
            </w:r>
          </w:p>
        </w:tc>
      </w:tr>
    </w:tbl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2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28 декабря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Прогнозируемые доходы бюджета Услонского муниципального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на плановый период 2019 и 2020 годов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0"/>
          <w:szCs w:val="24"/>
          <w:lang w:eastAsia="ru-RU"/>
        </w:rPr>
        <w:t>рублей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111"/>
        <w:gridCol w:w="3119"/>
        <w:gridCol w:w="1276"/>
        <w:gridCol w:w="1275"/>
      </w:tblGrid>
      <w:tr w:rsidR="00AC6F41" w:rsidRPr="00AC6F41" w:rsidTr="00AC6F41">
        <w:trPr>
          <w:trHeight w:val="498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C6F41" w:rsidRPr="00AC6F41" w:rsidTr="00AC6F41">
        <w:trPr>
          <w:trHeight w:val="54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4 362 600,00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2 612 100,00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2 612 100,00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2 611 600,00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000  1  03  00000  00  0000  000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000  1  03  02230  01  0000  110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000  1  03  02240  01  0000  110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000  1  03  02250  01  0000  110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718 200,00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</w:t>
            </w: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000  1  03  02260  01  0000  110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000  1  05  03010  01  0000  110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000  1  06  00000  00  0000  000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000  1  06  01000  00  0000  110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000  1  06  01030  10  0000  110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000  1  06  06000  00  0000  110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000  1  06  06030  00  0000  110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000  1  06  06033  10  0000  110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000  1  06  06040  00  0000  110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000  1  06  06043  10  0000  110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000  1  13  00000  00  0000  000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000  1  13  01000  00  0000  130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000  1  13  01990  00  0000  130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000  1  13  01995  10  0000  130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000  2  00  00000  00  0000  000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4 106 348,00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4 091 974,00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4 106 348,00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4 091 974,00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000  2  02  10000  00  0000  151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3 281 064,00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3 271 802,00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000  2  02  15001  00  0000  151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3 271 802,00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000  2  02  15001  10  0000  151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3 271 802,00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000  2  02  15001  10  0000  151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3 281 064,00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3 271 802,00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000  2  02  30000  00  0000  151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88 600,00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000  2  02  30024  00  0000  151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000  2  02  30024  10  0000  151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000  2  02  30024  10  0000  151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000  2  02  35118  00  0000  151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000  2  02  35118  10  0000  151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87 900,00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000  2  02  40000  00  0000  151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731 572,00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000  2  02  49999  00  0000  151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731 572,00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000  2  02  49999  10  0000  151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731 572,00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000  2  02  49999  10  0000  151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739 884,00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731 572,00</w:t>
            </w:r>
          </w:p>
        </w:tc>
      </w:tr>
      <w:tr w:rsidR="00AC6F41" w:rsidRPr="00AC6F41" w:rsidTr="00AC6F41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8 348 748,00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8 454 574,00</w:t>
            </w:r>
          </w:p>
        </w:tc>
      </w:tr>
    </w:tbl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3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28 декабря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Услонского муниципального образования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702"/>
        <w:gridCol w:w="2268"/>
        <w:gridCol w:w="5811"/>
      </w:tblGrid>
      <w:tr w:rsidR="00AC6F41" w:rsidRPr="00AC6F41" w:rsidTr="00AC6F41">
        <w:trPr>
          <w:trHeight w:val="464"/>
          <w:tblHeader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доходов бюджета</w:t>
            </w:r>
          </w:p>
        </w:tc>
      </w:tr>
      <w:tr w:rsidR="00AC6F41" w:rsidRPr="00AC6F41" w:rsidTr="00AC6F41">
        <w:trPr>
          <w:trHeight w:val="464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F41" w:rsidRPr="00AC6F41" w:rsidTr="00AC6F41">
        <w:trPr>
          <w:trHeight w:val="20"/>
          <w:tblHeader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Услонского муниципального образования Зиминского района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2 07 05010 10 0000 180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2 07 05020 10 0000 180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 от денежных пожертвований, предоставляемых </w:t>
            </w: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физическими лицами получателям средств бюджетов сельских поселений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C6F41" w:rsidRPr="00AC6F41" w:rsidTr="00AC6F41">
        <w:trPr>
          <w:trHeight w:val="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4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28 декабря 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</w:t>
      </w:r>
      <w:proofErr w:type="gramStart"/>
      <w:r w:rsidRPr="00AC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AC6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Услонского муниципального образования</w:t>
      </w: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93" w:tblpY="110"/>
        <w:tblW w:w="4871" w:type="pct"/>
        <w:tblLook w:val="04A0" w:firstRow="1" w:lastRow="0" w:firstColumn="1" w:lastColumn="0" w:noHBand="0" w:noVBand="1"/>
      </w:tblPr>
      <w:tblGrid>
        <w:gridCol w:w="1596"/>
        <w:gridCol w:w="2704"/>
        <w:gridCol w:w="5160"/>
      </w:tblGrid>
      <w:tr w:rsidR="00AC6F41" w:rsidRPr="00AC6F41" w:rsidTr="00AC6F41">
        <w:trPr>
          <w:trHeight w:val="827"/>
        </w:trPr>
        <w:tc>
          <w:tcPr>
            <w:tcW w:w="2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AC6F41" w:rsidRPr="00AC6F41" w:rsidTr="00AC6F41">
        <w:trPr>
          <w:trHeight w:val="1087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источников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F41" w:rsidRPr="00AC6F41" w:rsidTr="00AC6F41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4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Услонского муниципального образования Зиминского района</w:t>
            </w:r>
          </w:p>
        </w:tc>
      </w:tr>
      <w:tr w:rsidR="00AC6F41" w:rsidRPr="00AC6F41" w:rsidTr="00AC6F41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AC6F41" w:rsidRPr="00AC6F41" w:rsidTr="00AC6F41">
        <w:trPr>
          <w:trHeight w:val="2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2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17FD9" w:rsidRDefault="00217FD9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17FD9" w:rsidRDefault="00217FD9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5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28 декабря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Распределение бюджетных ассигнований по разделам и подразделам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классификации бюджетов Российской Федерации на 2018 год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lang w:eastAsia="ru-RU"/>
        </w:rPr>
        <w:t>рублей</w:t>
      </w:r>
    </w:p>
    <w:tbl>
      <w:tblPr>
        <w:tblW w:w="9764" w:type="dxa"/>
        <w:tblInd w:w="-34" w:type="dxa"/>
        <w:tblLook w:val="04A0" w:firstRow="1" w:lastRow="0" w:firstColumn="1" w:lastColumn="0" w:noHBand="0" w:noVBand="1"/>
      </w:tblPr>
      <w:tblGrid>
        <w:gridCol w:w="1075"/>
        <w:gridCol w:w="959"/>
        <w:gridCol w:w="958"/>
        <w:gridCol w:w="958"/>
        <w:gridCol w:w="958"/>
        <w:gridCol w:w="960"/>
        <w:gridCol w:w="1078"/>
        <w:gridCol w:w="1180"/>
        <w:gridCol w:w="1638"/>
      </w:tblGrid>
      <w:tr w:rsidR="00AC6F41" w:rsidRPr="00AC6F41" w:rsidTr="00AC6F41">
        <w:trPr>
          <w:trHeight w:val="641"/>
        </w:trPr>
        <w:tc>
          <w:tcPr>
            <w:tcW w:w="58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2 575 032,28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1 922 032,28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4 533 898,72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4 533 898,72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58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9 078 275,00</w:t>
            </w:r>
          </w:p>
        </w:tc>
      </w:tr>
    </w:tbl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6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28 декабря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 и 2020 годов»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Распределение бюджетных ассигнований по разделам и подразделам классификации бюджетов Российской Федерации на плановый период 2019 и 2020 годов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lang w:eastAsia="ru-RU"/>
        </w:rPr>
        <w:t>рублей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47"/>
        <w:gridCol w:w="847"/>
        <w:gridCol w:w="847"/>
        <w:gridCol w:w="847"/>
        <w:gridCol w:w="272"/>
        <w:gridCol w:w="493"/>
        <w:gridCol w:w="992"/>
        <w:gridCol w:w="992"/>
        <w:gridCol w:w="30"/>
        <w:gridCol w:w="1246"/>
        <w:gridCol w:w="1416"/>
      </w:tblGrid>
      <w:tr w:rsidR="00AC6F41" w:rsidRPr="00AC6F41" w:rsidTr="00AC6F41">
        <w:trPr>
          <w:trHeight w:val="20"/>
        </w:trPr>
        <w:tc>
          <w:tcPr>
            <w:tcW w:w="261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C6F41" w:rsidRPr="00AC6F41" w:rsidTr="00AC6F41">
        <w:trPr>
          <w:trHeight w:val="2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2 431 075,57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2 423 832,28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1 907 275,57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1 900 032,28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3 757 444,43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3 643 198,72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3 757 444,43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3 643 198,72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261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8 142 164,00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8 036 275,00</w:t>
            </w:r>
          </w:p>
        </w:tc>
      </w:tr>
    </w:tbl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7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28 декабря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2018 год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lang w:eastAsia="ru-RU"/>
        </w:rPr>
        <w:t>рублей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1417"/>
        <w:gridCol w:w="851"/>
        <w:gridCol w:w="850"/>
        <w:gridCol w:w="1701"/>
      </w:tblGrid>
      <w:tr w:rsidR="00AC6F41" w:rsidRPr="00AC6F41" w:rsidTr="00AC6F41">
        <w:trPr>
          <w:trHeight w:val="20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9 078 275,00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2 655 832,28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1 921 332,28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235 332,28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226 484,28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226 484,28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226 484,28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99.1.05.73150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99.1.05.73150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99.1.05.73150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61 444,00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61 444,00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61 444,00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22 356,00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22 356,00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22 356,00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4 533 898,72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3 507 655,69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3 507 655,69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3 507 655,69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3 507 655,69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1 026 243,03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1 025 243,03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1 025 243,03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1 025 243,03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1 888 544,00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99.3.00.80011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9 078 275,00</w:t>
            </w:r>
          </w:p>
        </w:tc>
      </w:tr>
    </w:tbl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8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28 декабря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</w:t>
      </w:r>
      <w:r w:rsidRPr="00AC6F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плановый период 2019 и 2020 годов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sz w:val="20"/>
          <w:szCs w:val="24"/>
          <w:lang w:eastAsia="ru-RU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6"/>
        <w:gridCol w:w="1430"/>
        <w:gridCol w:w="710"/>
        <w:gridCol w:w="707"/>
        <w:gridCol w:w="1272"/>
        <w:gridCol w:w="1406"/>
      </w:tblGrid>
      <w:tr w:rsidR="00AC6F41" w:rsidRPr="00AC6F41" w:rsidTr="00AC6F41">
        <w:trPr>
          <w:trHeight w:val="20"/>
          <w:tblHeader/>
        </w:trPr>
        <w:tc>
          <w:tcPr>
            <w:tcW w:w="2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C6F41" w:rsidRPr="00AC6F41" w:rsidTr="00AC6F4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99.0.00.00000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8 142 164,00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8 036 275,00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2 512 775,57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2 508 732,28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99.1.01.00000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99.1.04.00000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1 906 575,57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1 899 332,28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220 575,57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213 332,28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211 727,57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204 484,28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211 727,57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204 484,28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</w:t>
            </w: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99.1.04.80002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211 727,57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204 484,28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99.1.05.00000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99.1.05.73150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99.1.05.73150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99.1.05.73150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Российской Федерации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99.1.06.00000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62 135,00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64 593,00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62 135,00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64 593,00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62 135,00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64 593,00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23 307,00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23 307,00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23 307,00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99.2.00.00000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3 757 444,43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3 643 198,72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893 044,43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778 798,72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892 044,43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777 798,72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892 044,43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777 798,72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892 044,43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777 798,72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1 871 944,00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1 884 344,00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98"/>
        </w:trPr>
        <w:tc>
          <w:tcPr>
            <w:tcW w:w="21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8 142 164,00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8 036 275,00</w:t>
            </w:r>
          </w:p>
        </w:tc>
      </w:tr>
    </w:tbl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9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28 декабря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местного бюджета на 2018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proofErr w:type="gramEnd"/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C6F41">
        <w:rPr>
          <w:rFonts w:ascii="Times New Roman" w:eastAsia="Times New Roman" w:hAnsi="Times New Roman" w:cs="Times New Roman"/>
          <w:sz w:val="20"/>
          <w:lang w:eastAsia="ru-RU"/>
        </w:rPr>
        <w:t>рублей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728"/>
        <w:gridCol w:w="709"/>
        <w:gridCol w:w="1417"/>
        <w:gridCol w:w="595"/>
        <w:gridCol w:w="1559"/>
      </w:tblGrid>
      <w:tr w:rsidR="00AC6F41" w:rsidRPr="00AC6F41" w:rsidTr="00AC6F41">
        <w:trPr>
          <w:trHeight w:val="20"/>
          <w:tblHeader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Услонского 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9 078 275,00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2 575 032,28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1 922 032,28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1 922 032,28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1 921 332,28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235 332,28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226 484,28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61 444,00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22 356,00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4 533 898,72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4 533 898,72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4 533 898,72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3 507 655,69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3 507 655,69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1 026 243,03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1 025 243,03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9 078 275,00</w:t>
            </w:r>
          </w:p>
        </w:tc>
      </w:tr>
    </w:tbl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10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217FD9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C6F41"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28 декабря </w:t>
      </w:r>
      <w:r w:rsidR="00AC6F41"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местного бюджета на </w:t>
      </w:r>
      <w:r w:rsidRPr="00AC6F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плановый период 2019 и 2020 годов</w:t>
      </w:r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proofErr w:type="gramEnd"/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3518"/>
        <w:gridCol w:w="852"/>
        <w:gridCol w:w="702"/>
        <w:gridCol w:w="1401"/>
        <w:gridCol w:w="704"/>
        <w:gridCol w:w="1268"/>
        <w:gridCol w:w="1266"/>
      </w:tblGrid>
      <w:tr w:rsidR="00AC6F41" w:rsidRPr="00AC6F41" w:rsidTr="00AC6F41">
        <w:trPr>
          <w:trHeight w:val="20"/>
          <w:tblHeader/>
        </w:trPr>
        <w:tc>
          <w:tcPr>
            <w:tcW w:w="181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C6F41" w:rsidRPr="00AC6F41" w:rsidTr="00AC6F41">
        <w:trPr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Услонского МО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8 142 164,00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8 036 275,00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2 431 075,57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2 423 832,28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520 800,00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1 907 275,57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1 900 032,28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1 907 275,57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1 900 032,28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1 906 575,57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1 899 332,28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</w:t>
            </w: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220 575,57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213 332,28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211 727,57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204 484,28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99.1.05.73150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Российской Федерации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62 135,00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64 593,00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23 307,00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управление дорожным хозяйством (дорожным фондом)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1 061 100,00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1 073 500,00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108 645,00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69 730,00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38 915,00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3 757 444,43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3 643 198,72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3 757 444,43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3 643 198,72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3 757 444,43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3 643 198,72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2 864 400,00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893 044,43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778 798,72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892 044,43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777 798,72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99.3.00.00000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</w:tr>
      <w:tr w:rsidR="00AC6F41" w:rsidRPr="00AC6F41" w:rsidTr="00AC6F41">
        <w:trPr>
          <w:trHeight w:val="20"/>
        </w:trPr>
        <w:tc>
          <w:tcPr>
            <w:tcW w:w="181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8 142 164,00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8 036 275,00</w:t>
            </w:r>
          </w:p>
        </w:tc>
      </w:tr>
    </w:tbl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28 декабря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 Услонского муниципального образования на 2018 год</w:t>
      </w: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372"/>
        <w:gridCol w:w="2409"/>
      </w:tblGrid>
      <w:tr w:rsidR="00AC6F41" w:rsidRPr="00AC6F41" w:rsidTr="00AC6F41">
        <w:trPr>
          <w:trHeight w:val="4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долговых обязательств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C6F41" w:rsidRPr="00AC6F41" w:rsidTr="00AC6F41">
        <w:trPr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6F41" w:rsidRPr="00AC6F41" w:rsidTr="00AC6F41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12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28 декабря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 Услонского муниципального образования на плановый период 2019 и 2020 годов</w:t>
      </w: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AC6F41" w:rsidRPr="00AC6F41" w:rsidTr="00AC6F41">
        <w:trPr>
          <w:trHeight w:val="2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долговых обязательств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C6F41" w:rsidRPr="00AC6F41" w:rsidTr="00AC6F4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AC6F41" w:rsidRPr="00AC6F41" w:rsidTr="00AC6F41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6F41" w:rsidRPr="00AC6F41" w:rsidTr="00AC6F4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Государственные ценные бумаги, номинальная стоимость которых указана в валюте Российской Федерации,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13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28 декабря 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местного бюджета на 2018 год</w:t>
      </w:r>
    </w:p>
    <w:p w:rsidR="00AC6F41" w:rsidRPr="00AC6F41" w:rsidRDefault="00AC6F41" w:rsidP="00AC6F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margin" w:tblpXSpec="right" w:tblpY="378"/>
        <w:tblW w:w="9887" w:type="dxa"/>
        <w:tblLook w:val="04A0" w:firstRow="1" w:lastRow="0" w:firstColumn="1" w:lastColumn="0" w:noHBand="0" w:noVBand="1"/>
      </w:tblPr>
      <w:tblGrid>
        <w:gridCol w:w="4673"/>
        <w:gridCol w:w="3210"/>
        <w:gridCol w:w="2004"/>
      </w:tblGrid>
      <w:tr w:rsidR="00AC6F41" w:rsidRPr="00AC6F41" w:rsidTr="00AC6F41">
        <w:trPr>
          <w:trHeight w:val="4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AC6F41" w:rsidRPr="00AC6F41" w:rsidTr="00AC6F41">
        <w:trPr>
          <w:trHeight w:val="1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000 01 00 00 00 00 0000 000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1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95</w:t>
            </w: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8 01 03 00 00 00 0000 000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1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95</w:t>
            </w:r>
            <w:r w:rsidRPr="00AC6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8 01 03 01 00 00 0000 000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1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C6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95</w:t>
            </w:r>
            <w:r w:rsidRPr="00AC6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8 01 03 01 00 00 0000 700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1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95</w:t>
            </w:r>
            <w:r w:rsidRPr="00AC6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958 01 03 01 00 00 0000 800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1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- 9 078 275,00</w:t>
            </w:r>
          </w:p>
        </w:tc>
      </w:tr>
      <w:tr w:rsidR="00AC6F41" w:rsidRPr="00AC6F41" w:rsidTr="00AC6F41">
        <w:trPr>
          <w:trHeight w:val="20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- 9 078 275,00</w:t>
            </w:r>
          </w:p>
        </w:tc>
      </w:tr>
      <w:tr w:rsidR="00AC6F41" w:rsidRPr="00AC6F41" w:rsidTr="00AC6F41">
        <w:trPr>
          <w:trHeight w:val="20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- 9 078 275,00</w:t>
            </w:r>
          </w:p>
        </w:tc>
      </w:tr>
      <w:tr w:rsidR="00AC6F41" w:rsidRPr="00AC6F41" w:rsidTr="00AC6F41">
        <w:trPr>
          <w:trHeight w:val="1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- 9 078 275,00</w:t>
            </w:r>
          </w:p>
        </w:tc>
      </w:tr>
      <w:tr w:rsidR="00AC6F41" w:rsidRPr="00AC6F41" w:rsidTr="00AC6F41">
        <w:trPr>
          <w:trHeight w:val="1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9 078 275,00</w:t>
            </w:r>
          </w:p>
        </w:tc>
      </w:tr>
      <w:tr w:rsidR="00AC6F41" w:rsidRPr="00AC6F41" w:rsidTr="00AC6F41">
        <w:trPr>
          <w:trHeight w:val="1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9 078 275,00</w:t>
            </w:r>
          </w:p>
        </w:tc>
      </w:tr>
      <w:tr w:rsidR="00AC6F41" w:rsidRPr="00AC6F41" w:rsidTr="00AC6F41">
        <w:trPr>
          <w:trHeight w:val="1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9 078 275,00</w:t>
            </w:r>
          </w:p>
        </w:tc>
      </w:tr>
      <w:tr w:rsidR="00AC6F41" w:rsidRPr="00AC6F41" w:rsidTr="00AC6F41">
        <w:trPr>
          <w:trHeight w:val="1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9 078 275,00</w:t>
            </w:r>
          </w:p>
        </w:tc>
      </w:tr>
    </w:tbl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C6F41">
        <w:rPr>
          <w:rFonts w:ascii="Times New Roman" w:eastAsia="Times New Roman" w:hAnsi="Times New Roman" w:cs="Times New Roman"/>
          <w:sz w:val="20"/>
          <w:lang w:eastAsia="ru-RU"/>
        </w:rPr>
        <w:t>рублей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14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Думы Услонского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217F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28 декабря </w:t>
      </w: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2017 года № </w:t>
      </w:r>
      <w:r w:rsidR="007D79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«Об утверждении бюджета Услонского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на 2018 год 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F4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на плановый период 2019 и 2020 годов»</w:t>
      </w: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2019 и 2020 годов</w:t>
      </w:r>
    </w:p>
    <w:p w:rsidR="00AC6F41" w:rsidRPr="00AC6F41" w:rsidRDefault="00AC6F41" w:rsidP="00AC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F41" w:rsidRPr="00AC6F41" w:rsidRDefault="00AC6F41" w:rsidP="00AC6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C6F41">
        <w:rPr>
          <w:rFonts w:ascii="Times New Roman" w:eastAsia="Times New Roman" w:hAnsi="Times New Roman" w:cs="Times New Roman"/>
          <w:sz w:val="20"/>
          <w:lang w:eastAsia="ru-RU"/>
        </w:rPr>
        <w:t>рублей</w:t>
      </w:r>
    </w:p>
    <w:tbl>
      <w:tblPr>
        <w:tblpPr w:leftFromText="180" w:rightFromText="180" w:vertAnchor="text" w:horzAnchor="margin" w:tblpXSpec="right" w:tblpY="378"/>
        <w:tblW w:w="10099" w:type="dxa"/>
        <w:tblLook w:val="04A0" w:firstRow="1" w:lastRow="0" w:firstColumn="1" w:lastColumn="0" w:noHBand="0" w:noVBand="1"/>
      </w:tblPr>
      <w:tblGrid>
        <w:gridCol w:w="4503"/>
        <w:gridCol w:w="2693"/>
        <w:gridCol w:w="1417"/>
        <w:gridCol w:w="1486"/>
      </w:tblGrid>
      <w:tr w:rsidR="00AC6F41" w:rsidRPr="00AC6F41" w:rsidTr="00AC6F41">
        <w:trPr>
          <w:trHeight w:val="27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C6F41" w:rsidRPr="00AC6F41" w:rsidTr="00AC6F4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AC6F41" w:rsidRPr="00AC6F41" w:rsidTr="00AC6F41">
        <w:trPr>
          <w:trHeight w:val="1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000 01 00 00 00 00 0000 000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1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95</w:t>
            </w: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1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95</w:t>
            </w:r>
            <w:r w:rsidRPr="00AC6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8 01 03 01 00 00 0000 000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1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AC6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95</w:t>
            </w:r>
            <w:r w:rsidRPr="00AC6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8 01 03 01 00 00 0000 700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16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95</w:t>
            </w:r>
            <w:r w:rsidRPr="00AC6F4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8 01 03 01 00 10 0000 710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958 01 03 01 00 00 0000 800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958 01 03 01 00 10 0000 810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C6F41" w:rsidRPr="00AC6F41" w:rsidTr="00AC6F41">
        <w:trPr>
          <w:trHeight w:val="1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- 8 348 748,00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- 8 454 574,00</w:t>
            </w:r>
          </w:p>
        </w:tc>
      </w:tr>
      <w:tr w:rsidR="00AC6F41" w:rsidRPr="00AC6F41" w:rsidTr="00AC6F41">
        <w:trPr>
          <w:trHeight w:val="2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- 8 348 748,00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- 8 454 574,00</w:t>
            </w:r>
          </w:p>
        </w:tc>
      </w:tr>
      <w:tr w:rsidR="00AC6F41" w:rsidRPr="00AC6F41" w:rsidTr="00AC6F41">
        <w:trPr>
          <w:trHeight w:val="2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- 8 348 748,00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- 8 454 574,00</w:t>
            </w:r>
          </w:p>
        </w:tc>
      </w:tr>
      <w:tr w:rsidR="00AC6F41" w:rsidRPr="00AC6F41" w:rsidTr="00AC6F41">
        <w:trPr>
          <w:trHeight w:val="1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- 8 348 748,00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- 8 454 574,00</w:t>
            </w:r>
          </w:p>
        </w:tc>
      </w:tr>
      <w:tr w:rsidR="00AC6F41" w:rsidRPr="00AC6F41" w:rsidTr="00AC6F41">
        <w:trPr>
          <w:trHeight w:val="1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8 348 748,00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8 454 574,00</w:t>
            </w:r>
          </w:p>
        </w:tc>
      </w:tr>
      <w:tr w:rsidR="00AC6F41" w:rsidRPr="00AC6F41" w:rsidTr="00AC6F41">
        <w:trPr>
          <w:trHeight w:val="1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8 348 748,00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8 454 574,00</w:t>
            </w:r>
          </w:p>
        </w:tc>
      </w:tr>
      <w:tr w:rsidR="00AC6F41" w:rsidRPr="00AC6F41" w:rsidTr="00AC6F41">
        <w:trPr>
          <w:trHeight w:val="1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8 348 748,00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8 454 574,00</w:t>
            </w:r>
          </w:p>
        </w:tc>
      </w:tr>
      <w:tr w:rsidR="00AC6F41" w:rsidRPr="00AC6F41" w:rsidTr="00AC6F41">
        <w:trPr>
          <w:trHeight w:val="1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F41" w:rsidRPr="00AC6F41" w:rsidRDefault="00AC6F41" w:rsidP="00AC6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8 348 748,00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41" w:rsidRPr="00AC6F41" w:rsidRDefault="00AC6F41" w:rsidP="00A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8 454 574,00</w:t>
            </w:r>
          </w:p>
        </w:tc>
      </w:tr>
    </w:tbl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6F41" w:rsidRPr="00AC6F41" w:rsidSect="00066519">
          <w:pgSz w:w="11906" w:h="16838"/>
          <w:pgMar w:top="1134" w:right="851" w:bottom="1134" w:left="1560" w:header="709" w:footer="122" w:gutter="0"/>
          <w:cols w:space="720"/>
        </w:sectPr>
      </w:pPr>
      <w:bookmarkStart w:id="0" w:name="_GoBack"/>
      <w:bookmarkEnd w:id="0"/>
    </w:p>
    <w:p w:rsidR="00AC6F41" w:rsidRPr="00AC6F41" w:rsidRDefault="00AC6F41" w:rsidP="00AC6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5EC" w:rsidRDefault="008975EC"/>
    <w:sectPr w:rsidR="0089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DA" w:rsidRDefault="009953DA" w:rsidP="00066519">
      <w:pPr>
        <w:spacing w:after="0" w:line="240" w:lineRule="auto"/>
      </w:pPr>
      <w:r>
        <w:separator/>
      </w:r>
    </w:p>
  </w:endnote>
  <w:endnote w:type="continuationSeparator" w:id="0">
    <w:p w:rsidR="009953DA" w:rsidRDefault="009953DA" w:rsidP="0006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DA" w:rsidRDefault="009953DA" w:rsidP="00066519">
      <w:pPr>
        <w:spacing w:after="0" w:line="240" w:lineRule="auto"/>
      </w:pPr>
      <w:r>
        <w:separator/>
      </w:r>
    </w:p>
  </w:footnote>
  <w:footnote w:type="continuationSeparator" w:id="0">
    <w:p w:rsidR="009953DA" w:rsidRDefault="009953DA" w:rsidP="0006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7BE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EC"/>
    <w:rsid w:val="00066519"/>
    <w:rsid w:val="00217FD9"/>
    <w:rsid w:val="007D79B4"/>
    <w:rsid w:val="008975EC"/>
    <w:rsid w:val="009953DA"/>
    <w:rsid w:val="00A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6F41"/>
  </w:style>
  <w:style w:type="paragraph" w:styleId="a3">
    <w:name w:val="header"/>
    <w:basedOn w:val="a"/>
    <w:link w:val="a4"/>
    <w:unhideWhenUsed/>
    <w:rsid w:val="00AC6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AC6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C6F4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AC6F41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9">
    <w:name w:val="List Paragraph"/>
    <w:basedOn w:val="a"/>
    <w:qFormat/>
    <w:rsid w:val="00AC6F41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AC6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C6F4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C6F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6F41"/>
  </w:style>
  <w:style w:type="paragraph" w:styleId="a3">
    <w:name w:val="header"/>
    <w:basedOn w:val="a"/>
    <w:link w:val="a4"/>
    <w:unhideWhenUsed/>
    <w:rsid w:val="00AC6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C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AC6F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F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C6F4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AC6F41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9">
    <w:name w:val="List Paragraph"/>
    <w:basedOn w:val="a"/>
    <w:qFormat/>
    <w:rsid w:val="00AC6F41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AC6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C6F4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C6F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4E962F9AD8358C59C6B54C464424660229E1AD1F0D847DB0F4CAEC4787512AE35B82H0M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10220</Words>
  <Characters>58257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2018-01-10T01:55:00Z</dcterms:created>
  <dcterms:modified xsi:type="dcterms:W3CDTF">2018-01-10T02:08:00Z</dcterms:modified>
</cp:coreProperties>
</file>